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</w:rPr>
        <w:t>天勤生物实验设备招标采购公告</w:t>
      </w:r>
    </w:p>
    <w:p>
      <w:pPr>
        <w:widowControl/>
        <w:shd w:val="clear" w:color="auto" w:fill="FFFFFF"/>
        <w:ind w:firstLine="480" w:firstLineChars="20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湖北天勤生物科技有限公司实验室设备集中采购 ，潜在投标人在本公告所示联系人处获取招标文件，并于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>202</w:t>
      </w:r>
      <w:r>
        <w:rPr>
          <w:rFonts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月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日 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点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分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（北京时间）前递交投标文件。</w:t>
      </w:r>
    </w:p>
    <w:p>
      <w:pPr>
        <w:widowControl/>
        <w:numPr>
          <w:ilvl w:val="0"/>
          <w:numId w:val="1"/>
        </w:numPr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采购需求：</w:t>
      </w:r>
    </w:p>
    <w:tbl>
      <w:tblPr>
        <w:tblStyle w:val="5"/>
        <w:tblW w:w="8785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0"/>
        <w:gridCol w:w="1833"/>
        <w:gridCol w:w="691"/>
        <w:gridCol w:w="643"/>
        <w:gridCol w:w="2328"/>
        <w:gridCol w:w="957"/>
        <w:gridCol w:w="1913"/>
      </w:tblGrid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42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包号</w:t>
            </w:r>
          </w:p>
        </w:tc>
        <w:tc>
          <w:tcPr>
            <w:tcW w:w="183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69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64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232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交货时限</w:t>
            </w:r>
          </w:p>
        </w:tc>
        <w:tc>
          <w:tcPr>
            <w:tcW w:w="95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质保期</w:t>
            </w:r>
          </w:p>
        </w:tc>
        <w:tc>
          <w:tcPr>
            <w:tcW w:w="191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三重四极杆液质联用仪</w:t>
            </w:r>
            <w:bookmarkEnd w:id="0"/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微软雅黑" w:hAnsi="微软雅黑" w:eastAsia="微软雅黑" w:cs="宋体"/>
                <w:color w:val="383838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383838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合同签订之起9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天内全部交货并安装调试完毕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24个月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需要3Q+CSV服务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8785" w:type="dxa"/>
            <w:gridSpan w:val="7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 投标供应商须对所投包内所有产品和数量进行唯一报价，否则视为无效投标。</w:t>
            </w:r>
          </w:p>
          <w:p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 投标报价应包括所有货物供应、运输、安装调试、技术培训、售后服务、备品备件和伴随服务等价格。</w:t>
            </w:r>
          </w:p>
          <w:p>
            <w:pPr>
              <w:widowControl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 投标供应商必须保证所投产品为全新、未使用过的产品。</w:t>
            </w:r>
          </w:p>
        </w:tc>
      </w:tr>
    </w:tbl>
    <w:p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合同履行期限：合同签订之日起9</w:t>
      </w:r>
      <w:r>
        <w:rPr>
          <w:rFonts w:ascii="微软雅黑" w:hAnsi="微软雅黑" w:eastAsia="微软雅黑" w:cs="宋体"/>
          <w:color w:val="383838"/>
          <w:kern w:val="0"/>
          <w:sz w:val="24"/>
          <w:szCs w:val="24"/>
        </w:rPr>
        <w:t>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天内全部交货并安装调试完毕。</w:t>
      </w:r>
    </w:p>
    <w:p>
      <w:pPr>
        <w:widowControl/>
        <w:numPr>
          <w:ilvl w:val="0"/>
          <w:numId w:val="1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申请人的资格要求：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具有独立承担民事责任的能力；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具有良好的商业信誉和健全的财务会计制度；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具有履行合同所必需的设备和专业技术能力；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有依法缴纳税收和社会保障资金的良好记录；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参加本采购活动前3年内，在经营活动中没有重大违法记录；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法律、行政法规规定的其他条件；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单位负责人为同一人或者存在直接控股、管理关系的不同供应商，不得同时参加同一包的采购活动；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生产型企业的生产场经营地址或者注册登记地址为同一地址的，非国有销售型企业的股东和管理人员（法定代表人、董事、监事）之间存在近亲属、相互占股等关联的，也不得同时参加同一包的采购活动；近亲属指夫妻、直系血亲、三代以内旁系血亲或近姻亲关系。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本项目特定资质：投标供应商为生产企业的，须提供行业相关许可，投标供应商为经销商的，须提供厂家经销许可或授权。</w:t>
      </w:r>
    </w:p>
    <w:p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三、获取招标文件</w:t>
      </w:r>
    </w:p>
    <w:p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时间：202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 xml:space="preserve"> 29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日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至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 xml:space="preserve"> 30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日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（每天上午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: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0至12:00，下午1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: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0至17: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0（北京时间，法定节假日除外）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地点： 湖北天勤生物科技有限公司（地址：湖北省武汉市洪山区药监二路光谷武创院本部大楼(光谷生物城北)15楼）（或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instrText xml:space="preserve"> HYPERLINK "https://www.topgenebio.com/" </w:instrTex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fldChar w:fldCharType="separate"/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湖北天勤生物科技有限公司 (topgenebio.com)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网上获取）</w:t>
      </w:r>
    </w:p>
    <w:p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四、提交投标文件截止时间</w:t>
      </w:r>
    </w:p>
    <w:p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提交投标文件截止时间：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>202</w:t>
      </w:r>
      <w:r>
        <w:rPr>
          <w:rFonts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月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日 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点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分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.</w:t>
      </w:r>
    </w:p>
    <w:p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五、公告期限</w:t>
      </w:r>
    </w:p>
    <w:p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自本公告发布之日起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个工作日。</w:t>
      </w:r>
    </w:p>
    <w:p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六、其他补充事宜</w:t>
      </w:r>
    </w:p>
    <w:p>
      <w:pPr>
        <w:widowControl/>
        <w:shd w:val="clear" w:color="auto" w:fill="FFFFFF"/>
        <w:spacing w:before="75" w:after="330" w:line="560" w:lineRule="atLeast"/>
        <w:ind w:firstLine="56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我部就以下项目进行国内公开招标，采购资金已全部落实，欢迎符合条件的供应商参加投标。</w:t>
      </w:r>
    </w:p>
    <w:p>
      <w:pPr>
        <w:widowControl/>
        <w:shd w:val="clear" w:color="auto" w:fill="FFFFFF"/>
        <w:spacing w:before="240" w:after="240" w:line="560" w:lineRule="atLeast"/>
        <w:ind w:left="11" w:firstLine="560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投标方式：由投标供应商法定代表人或授权代表现场递交投标文件，不接受邮寄等其他方式。</w:t>
      </w:r>
    </w:p>
    <w:p>
      <w:pPr>
        <w:widowControl/>
        <w:shd w:val="clear" w:color="auto" w:fill="FFFFFF"/>
        <w:spacing w:before="75" w:after="330"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七、开标时间、地点</w:t>
      </w:r>
    </w:p>
    <w:p>
      <w:pPr>
        <w:widowControl/>
        <w:numPr>
          <w:ilvl w:val="0"/>
          <w:numId w:val="3"/>
        </w:numPr>
        <w:shd w:val="clear" w:color="auto" w:fill="FFFFFF"/>
        <w:spacing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开标时间：：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2023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zh-CN"/>
        </w:rPr>
        <w:t>年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12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_月_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 xml:space="preserve"> 5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_日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 xml:space="preserve"> 10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_时_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00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_分（北京时间）。</w:t>
      </w:r>
    </w:p>
    <w:p>
      <w:pPr>
        <w:widowControl/>
        <w:numPr>
          <w:ilvl w:val="0"/>
          <w:numId w:val="3"/>
        </w:numPr>
        <w:shd w:val="clear" w:color="auto" w:fill="FFFFFF"/>
        <w:spacing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 开标地点：</w:t>
      </w:r>
      <w:r>
        <w:rPr>
          <w:rFonts w:ascii="微软雅黑" w:hAnsi="微软雅黑" w:eastAsia="微软雅黑" w:cs="宋体"/>
          <w:color w:val="383838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湖北省武汉市洪山区药监二路光谷武创院本部大楼(光谷生物城北)15楼</w:t>
      </w:r>
    </w:p>
    <w:p>
      <w:pPr>
        <w:widowControl/>
        <w:shd w:val="clear" w:color="auto" w:fill="FFFFFF"/>
        <w:spacing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八、本采购项目相关信息在湖北天勤生物科技有限公司官网上发布。</w:t>
      </w:r>
    </w:p>
    <w:p>
      <w:pPr>
        <w:widowControl/>
        <w:shd w:val="clear" w:color="auto" w:fill="FFFFFF"/>
        <w:spacing w:before="75" w:after="330"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九、采购部门联系方式</w:t>
      </w:r>
    </w:p>
    <w:p>
      <w:pPr>
        <w:widowControl/>
        <w:shd w:val="clear" w:color="auto" w:fill="FFFFFF"/>
        <w:spacing w:line="560" w:lineRule="atLeast"/>
        <w:ind w:firstLine="56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联 系 人： 杨富田      </w:t>
      </w:r>
    </w:p>
    <w:p>
      <w:pPr>
        <w:widowControl/>
        <w:shd w:val="clear" w:color="auto" w:fill="FFFFFF"/>
        <w:spacing w:line="560" w:lineRule="atLeast"/>
        <w:ind w:firstLine="56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电    话： 13971091752</w:t>
      </w:r>
    </w:p>
    <w:p>
      <w:pPr>
        <w:widowControl/>
        <w:shd w:val="clear" w:color="auto" w:fill="FFFFFF"/>
        <w:spacing w:line="560" w:lineRule="atLeast"/>
        <w:ind w:firstLine="56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 w:line="560" w:lineRule="atLeast"/>
        <w:jc w:val="center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p>
      <w:pPr>
        <w:spacing w:line="360" w:lineRule="auto"/>
        <w:jc w:val="center"/>
        <w:rPr>
          <w:rFonts w:hint="eastAsia" w:eastAsia="宋体-18030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-18030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-18030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-18030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-18030"/>
          <w:b/>
          <w:sz w:val="28"/>
          <w:szCs w:val="28"/>
        </w:rPr>
      </w:pPr>
    </w:p>
    <w:p>
      <w:pPr>
        <w:spacing w:line="360" w:lineRule="auto"/>
        <w:jc w:val="center"/>
        <w:rPr>
          <w:rFonts w:eastAsia="宋体-18030"/>
          <w:szCs w:val="21"/>
        </w:rPr>
      </w:pPr>
      <w:r>
        <w:rPr>
          <w:rFonts w:hint="eastAsia" w:eastAsia="宋体-18030"/>
          <w:b/>
          <w:sz w:val="28"/>
          <w:szCs w:val="28"/>
        </w:rPr>
        <w:t>液质技术参数</w:t>
      </w:r>
    </w:p>
    <w:tbl>
      <w:tblPr>
        <w:tblStyle w:val="11"/>
        <w:tblpPr w:leftFromText="180" w:rightFromText="180" w:vertAnchor="text" w:horzAnchor="page" w:tblpX="2042" w:tblpY="229"/>
        <w:tblOverlap w:val="never"/>
        <w:tblW w:w="780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1525"/>
        <w:gridCol w:w="885"/>
        <w:gridCol w:w="470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89" w:type="dxa"/>
          </w:tcPr>
          <w:p>
            <w:pPr>
              <w:pStyle w:val="10"/>
              <w:spacing w:before="211" w:line="230" w:lineRule="auto"/>
              <w:ind w:left="139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序号</w:t>
            </w:r>
          </w:p>
        </w:tc>
        <w:tc>
          <w:tcPr>
            <w:tcW w:w="1525" w:type="dxa"/>
          </w:tcPr>
          <w:p>
            <w:pPr>
              <w:pStyle w:val="10"/>
              <w:spacing w:before="211" w:line="229" w:lineRule="auto"/>
              <w:ind w:left="454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指标项</w:t>
            </w:r>
          </w:p>
        </w:tc>
        <w:tc>
          <w:tcPr>
            <w:tcW w:w="885" w:type="dxa"/>
          </w:tcPr>
          <w:p>
            <w:pPr>
              <w:pStyle w:val="10"/>
              <w:spacing w:before="211" w:line="230" w:lineRule="auto"/>
              <w:ind w:left="132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重要性</w:t>
            </w:r>
          </w:p>
        </w:tc>
        <w:tc>
          <w:tcPr>
            <w:tcW w:w="4707" w:type="dxa"/>
          </w:tcPr>
          <w:p>
            <w:pPr>
              <w:pStyle w:val="10"/>
              <w:spacing w:before="211" w:line="229" w:lineRule="auto"/>
              <w:ind w:left="2099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指标要求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689" w:type="dxa"/>
          </w:tcPr>
          <w:p>
            <w:pPr>
              <w:pStyle w:val="10"/>
              <w:spacing w:before="211" w:line="230" w:lineRule="auto"/>
              <w:ind w:left="139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>
            <w:pPr>
              <w:pStyle w:val="10"/>
              <w:spacing w:before="211" w:line="229" w:lineRule="auto"/>
              <w:ind w:left="454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质谱仪</w:t>
            </w:r>
          </w:p>
        </w:tc>
        <w:tc>
          <w:tcPr>
            <w:tcW w:w="885" w:type="dxa"/>
          </w:tcPr>
          <w:p>
            <w:pPr>
              <w:pStyle w:val="10"/>
              <w:spacing w:before="211" w:line="230" w:lineRule="auto"/>
              <w:ind w:left="132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★</w:t>
            </w:r>
          </w:p>
        </w:tc>
        <w:tc>
          <w:tcPr>
            <w:tcW w:w="4707" w:type="dxa"/>
          </w:tcPr>
          <w:p>
            <w:pPr>
              <w:pStyle w:val="10"/>
              <w:spacing w:before="211" w:line="229" w:lineRule="auto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高灵敏度，高分辨率，能够检测pg/mL级别，优于AB Triple Quad 5500+性能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689" w:type="dxa"/>
          </w:tcPr>
          <w:p>
            <w:pPr>
              <w:pStyle w:val="10"/>
              <w:spacing w:before="211" w:line="230" w:lineRule="auto"/>
              <w:ind w:left="139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>
            <w:pPr>
              <w:pStyle w:val="10"/>
              <w:spacing w:before="211" w:line="229" w:lineRule="auto"/>
              <w:ind w:firstLine="240" w:firstLineChars="100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液相色谱仪</w:t>
            </w:r>
          </w:p>
        </w:tc>
        <w:tc>
          <w:tcPr>
            <w:tcW w:w="885" w:type="dxa"/>
          </w:tcPr>
          <w:p>
            <w:pPr>
              <w:pStyle w:val="10"/>
              <w:spacing w:before="211" w:line="230" w:lineRule="auto"/>
              <w:ind w:left="132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★</w:t>
            </w:r>
          </w:p>
        </w:tc>
        <w:tc>
          <w:tcPr>
            <w:tcW w:w="4707" w:type="dxa"/>
          </w:tcPr>
          <w:p>
            <w:pPr>
              <w:pStyle w:val="10"/>
              <w:spacing w:before="211" w:line="229" w:lineRule="auto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与质谱联合使用能准确定量，故障率低，灵敏度高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689" w:type="dxa"/>
          </w:tcPr>
          <w:p>
            <w:pPr>
              <w:pStyle w:val="10"/>
              <w:spacing w:before="211" w:line="230" w:lineRule="auto"/>
              <w:ind w:left="139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>
            <w:pPr>
              <w:pStyle w:val="10"/>
              <w:spacing w:before="211" w:line="229" w:lineRule="auto"/>
              <w:ind w:firstLine="240" w:firstLineChars="100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3Q验证</w:t>
            </w:r>
          </w:p>
        </w:tc>
        <w:tc>
          <w:tcPr>
            <w:tcW w:w="885" w:type="dxa"/>
          </w:tcPr>
          <w:p>
            <w:pPr>
              <w:pStyle w:val="10"/>
              <w:spacing w:before="211" w:line="230" w:lineRule="auto"/>
              <w:ind w:left="132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#</w:t>
            </w:r>
          </w:p>
        </w:tc>
        <w:tc>
          <w:tcPr>
            <w:tcW w:w="4707" w:type="dxa"/>
          </w:tcPr>
          <w:p>
            <w:pPr>
              <w:pStyle w:val="10"/>
              <w:spacing w:before="211" w:line="229" w:lineRule="auto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符合国标</w:t>
            </w:r>
          </w:p>
        </w:tc>
      </w:tr>
    </w:tbl>
    <w:p>
      <w:pPr>
        <w:spacing w:line="520" w:lineRule="exact"/>
        <w:rPr>
          <w:rFonts w:ascii="仿宋" w:hAnsi="仿宋" w:eastAsia="仿宋"/>
          <w:sz w:val="24"/>
          <w:szCs w:val="24"/>
        </w:rPr>
      </w:pPr>
    </w:p>
    <w:p>
      <w:pPr>
        <w:pStyle w:val="4"/>
        <w:spacing w:before="220" w:line="432" w:lineRule="auto"/>
        <w:ind w:left="7" w:right="114" w:firstLine="421"/>
        <w:rPr>
          <w:rFonts w:ascii="仿宋" w:hAnsi="仿宋" w:eastAsia="仿宋" w:cstheme="minorBidi"/>
          <w:sz w:val="24"/>
          <w:szCs w:val="24"/>
        </w:rPr>
      </w:pPr>
      <w:r>
        <w:rPr>
          <w:rFonts w:hint="eastAsia" w:ascii="仿宋" w:hAnsi="仿宋" w:eastAsia="仿宋" w:cstheme="minorBidi"/>
          <w:sz w:val="24"/>
          <w:szCs w:val="24"/>
        </w:rPr>
        <w:t>技术参数：需包括高性能、高灵敏度的三重四极杆质谱仪检测仪器与相关组件，用于定量血浆、尿液、组织等复杂基质中的药物含量及代谢产物检定，蛋白组学和脂质组学、研究等方面的分析检测，需提供全面的软硬件验证。</w:t>
      </w:r>
    </w:p>
    <w:p>
      <w:pPr>
        <w:pStyle w:val="4"/>
        <w:spacing w:before="220" w:line="432" w:lineRule="auto"/>
        <w:ind w:left="7" w:right="114" w:firstLine="421"/>
        <w:rPr>
          <w:rFonts w:ascii="仿宋" w:hAnsi="仿宋" w:eastAsia="仿宋" w:cstheme="minorBidi"/>
          <w:sz w:val="24"/>
          <w:szCs w:val="24"/>
        </w:rPr>
      </w:pPr>
    </w:p>
    <w:p>
      <w:pPr>
        <w:pStyle w:val="4"/>
        <w:spacing w:before="220" w:line="432" w:lineRule="auto"/>
        <w:ind w:left="7" w:right="114" w:firstLine="421"/>
        <w:rPr>
          <w:rFonts w:ascii="仿宋" w:hAnsi="仿宋" w:eastAsia="仿宋" w:cstheme="minorBidi"/>
          <w:sz w:val="24"/>
          <w:szCs w:val="24"/>
        </w:rPr>
      </w:pPr>
    </w:p>
    <w:p>
      <w:pPr>
        <w:pStyle w:val="4"/>
        <w:spacing w:before="220" w:line="432" w:lineRule="auto"/>
        <w:ind w:left="7" w:right="114" w:firstLine="421"/>
        <w:rPr>
          <w:rFonts w:ascii="仿宋" w:hAnsi="仿宋" w:eastAsia="仿宋" w:cstheme="minorBidi"/>
          <w:sz w:val="24"/>
          <w:szCs w:val="24"/>
        </w:rPr>
      </w:pPr>
    </w:p>
    <w:p>
      <w:pPr>
        <w:pStyle w:val="4"/>
        <w:spacing w:before="220" w:line="432" w:lineRule="auto"/>
        <w:ind w:left="7" w:right="114" w:firstLine="421"/>
        <w:rPr>
          <w:rFonts w:ascii="仿宋" w:hAnsi="仿宋" w:eastAsia="仿宋" w:cstheme="minorBidi"/>
          <w:sz w:val="24"/>
          <w:szCs w:val="24"/>
        </w:rPr>
      </w:pPr>
    </w:p>
    <w:p>
      <w:pPr>
        <w:pStyle w:val="4"/>
        <w:spacing w:before="220" w:line="432" w:lineRule="auto"/>
        <w:ind w:left="7" w:right="114" w:firstLine="421"/>
        <w:rPr>
          <w:rFonts w:ascii="仿宋" w:hAnsi="仿宋" w:eastAsia="仿宋" w:cstheme="minorBidi"/>
          <w:sz w:val="24"/>
          <w:szCs w:val="24"/>
        </w:rPr>
      </w:pPr>
    </w:p>
    <w:p>
      <w:pPr>
        <w:pStyle w:val="4"/>
        <w:spacing w:before="220" w:line="432" w:lineRule="auto"/>
        <w:ind w:left="7" w:right="114" w:firstLine="421"/>
        <w:rPr>
          <w:rFonts w:ascii="仿宋" w:hAnsi="仿宋" w:eastAsia="仿宋" w:cstheme="minorBidi"/>
          <w:sz w:val="24"/>
          <w:szCs w:val="24"/>
        </w:rPr>
      </w:pPr>
    </w:p>
    <w:p>
      <w:pPr>
        <w:pStyle w:val="4"/>
        <w:spacing w:before="220" w:line="432" w:lineRule="auto"/>
        <w:ind w:left="7" w:right="114" w:firstLine="421"/>
        <w:rPr>
          <w:rFonts w:ascii="仿宋" w:hAnsi="仿宋" w:eastAsia="仿宋" w:cstheme="minorBidi"/>
          <w:sz w:val="24"/>
          <w:szCs w:val="24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Univers LT Std 45 Light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nheri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862F30"/>
    <w:multiLevelType w:val="singleLevel"/>
    <w:tmpl w:val="F7862F3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817B59B"/>
    <w:multiLevelType w:val="singleLevel"/>
    <w:tmpl w:val="F817B59B"/>
    <w:lvl w:ilvl="0" w:tentative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</w:abstractNum>
  <w:abstractNum w:abstractNumId="2">
    <w:nsid w:val="5FAB1BFE"/>
    <w:multiLevelType w:val="singleLevel"/>
    <w:tmpl w:val="5FAB1BF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GIzMThiMWU4M2QyNWQ1ZmIwNmI4OTQ2ZmMwOWUifQ=="/>
  </w:docVars>
  <w:rsids>
    <w:rsidRoot w:val="00ED3956"/>
    <w:rsid w:val="000F62BE"/>
    <w:rsid w:val="000F7491"/>
    <w:rsid w:val="00172E78"/>
    <w:rsid w:val="001D2EA7"/>
    <w:rsid w:val="0025506A"/>
    <w:rsid w:val="00546B52"/>
    <w:rsid w:val="0055779E"/>
    <w:rsid w:val="00663037"/>
    <w:rsid w:val="006E5268"/>
    <w:rsid w:val="00794CED"/>
    <w:rsid w:val="007A6F63"/>
    <w:rsid w:val="008F0B41"/>
    <w:rsid w:val="00940DA6"/>
    <w:rsid w:val="00B935BD"/>
    <w:rsid w:val="00BE7156"/>
    <w:rsid w:val="00C30D6A"/>
    <w:rsid w:val="00ED204B"/>
    <w:rsid w:val="00ED3956"/>
    <w:rsid w:val="00F84655"/>
    <w:rsid w:val="07E6312F"/>
    <w:rsid w:val="0801316A"/>
    <w:rsid w:val="09C94AB7"/>
    <w:rsid w:val="0A0B50CF"/>
    <w:rsid w:val="0ACA188C"/>
    <w:rsid w:val="0B9510F4"/>
    <w:rsid w:val="0CD93263"/>
    <w:rsid w:val="0FAE4DAE"/>
    <w:rsid w:val="0FCA16DE"/>
    <w:rsid w:val="104D7C4D"/>
    <w:rsid w:val="1DCC746F"/>
    <w:rsid w:val="1F542D83"/>
    <w:rsid w:val="205B0707"/>
    <w:rsid w:val="20DD2ECA"/>
    <w:rsid w:val="23F423B7"/>
    <w:rsid w:val="28DF17A9"/>
    <w:rsid w:val="28F90ABD"/>
    <w:rsid w:val="2B6E606A"/>
    <w:rsid w:val="31532D34"/>
    <w:rsid w:val="35883789"/>
    <w:rsid w:val="43130612"/>
    <w:rsid w:val="48C70C12"/>
    <w:rsid w:val="4AE253FD"/>
    <w:rsid w:val="4D5A127B"/>
    <w:rsid w:val="51087240"/>
    <w:rsid w:val="56644F18"/>
    <w:rsid w:val="575B631B"/>
    <w:rsid w:val="5AA224B3"/>
    <w:rsid w:val="60413D75"/>
    <w:rsid w:val="60FB46CB"/>
    <w:rsid w:val="62816E52"/>
    <w:rsid w:val="63862972"/>
    <w:rsid w:val="641E2BAA"/>
    <w:rsid w:val="66846F11"/>
    <w:rsid w:val="68B447B1"/>
    <w:rsid w:val="69D250AE"/>
    <w:rsid w:val="6B451364"/>
    <w:rsid w:val="6C0C3C30"/>
    <w:rsid w:val="6C0E1756"/>
    <w:rsid w:val="731D6723"/>
    <w:rsid w:val="751D3077"/>
    <w:rsid w:val="75E74231"/>
    <w:rsid w:val="7C6929D9"/>
    <w:rsid w:val="7CD75B94"/>
    <w:rsid w:val="7E723DC7"/>
    <w:rsid w:val="7F8F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A13"/>
    <w:qFormat/>
    <w:uiPriority w:val="0"/>
    <w:rPr>
      <w:rFonts w:ascii="Univers LT Std 45 Light" w:eastAsia="Univers LT Std 45 Light" w:cs="Univers LT Std 45 Light"/>
      <w:color w:val="221E1F"/>
      <w:sz w:val="10"/>
      <w:szCs w:val="10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table" w:customStyle="1" w:styleId="11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101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等线" w:cs="Calibri"/>
      <w:color w:val="000000"/>
      <w:sz w:val="24"/>
      <w:szCs w:val="24"/>
      <w:lang w:val="en-US" w:eastAsia="zh-CN" w:bidi="ar-SA"/>
    </w:rPr>
  </w:style>
  <w:style w:type="paragraph" w:customStyle="1" w:styleId="17">
    <w:name w:val="_Style 16"/>
    <w:basedOn w:val="1"/>
    <w:next w:val="15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1201</Words>
  <Characters>1309</Characters>
  <Lines>58</Lines>
  <Paragraphs>16</Paragraphs>
  <TotalTime>16</TotalTime>
  <ScaleCrop>false</ScaleCrop>
  <LinksUpToDate>false</LinksUpToDate>
  <CharactersWithSpaces>1357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2023-11-17T03:28:00Z</dcterms:created>
  <dc:creator>杨富田</dc:creator>
  <cp:lastModifiedBy>杨飞</cp:lastModifiedBy>
  <dcterms:modified xsi:type="dcterms:W3CDTF">2023-11-30T01:32:48Z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E49DED61B71E4C5EB21027150607DF25</vt:lpwstr>
  </property>
</Properties>
</file>